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6154" w14:textId="2E5C7571" w:rsidR="6DEDC27A" w:rsidRPr="00D070BA" w:rsidRDefault="00C14576" w:rsidP="2BC96DB5">
      <w:pPr>
        <w:rPr>
          <w:rFonts w:ascii="Calibri" w:eastAsia="Calibri" w:hAnsi="Calibri" w:cs="Calibri"/>
          <w:b/>
          <w:bCs/>
          <w:color w:val="000000" w:themeColor="text1"/>
          <w:lang w:val="en-US"/>
        </w:rPr>
      </w:pPr>
      <w:r w:rsidRPr="00D070BA">
        <w:rPr>
          <w:rFonts w:ascii="Calibri" w:eastAsia="Calibri" w:hAnsi="Calibri" w:cs="Calibri"/>
          <w:b/>
          <w:bCs/>
          <w:color w:val="000000" w:themeColor="text1"/>
          <w:lang w:val="en-US"/>
        </w:rPr>
        <w:t xml:space="preserve">Dr. </w:t>
      </w:r>
      <w:r w:rsidR="00DC30D2">
        <w:rPr>
          <w:rFonts w:ascii="Calibri" w:eastAsia="Calibri" w:hAnsi="Calibri" w:cs="Calibri"/>
          <w:b/>
          <w:bCs/>
          <w:color w:val="000000" w:themeColor="text1"/>
          <w:lang w:val="en-US"/>
        </w:rPr>
        <w:t>Jesus Alcazar, Janssen</w:t>
      </w:r>
    </w:p>
    <w:p w14:paraId="48025F73" w14:textId="4112CD02" w:rsidR="00787564" w:rsidRPr="00787564" w:rsidRDefault="00DC30D2" w:rsidP="7D03E062">
      <w:pPr>
        <w:rPr>
          <w:rFonts w:ascii="Calibri" w:eastAsia="Calibri" w:hAnsi="Calibri" w:cs="Calibri"/>
          <w:b/>
          <w:bCs/>
          <w:color w:val="000000" w:themeColor="text1"/>
          <w:lang w:val="en-US"/>
        </w:rPr>
      </w:pPr>
      <w:r>
        <w:rPr>
          <w:rFonts w:ascii="Calibri" w:eastAsia="Calibri" w:hAnsi="Calibri" w:cs="Calibri"/>
          <w:b/>
          <w:bCs/>
          <w:color w:val="000000" w:themeColor="text1"/>
          <w:lang w:val="en-US"/>
        </w:rPr>
        <w:t>March 19</w:t>
      </w:r>
      <w:r w:rsidR="00D070BA" w:rsidRPr="00D070BA">
        <w:rPr>
          <w:rFonts w:ascii="Calibri" w:eastAsia="Calibri" w:hAnsi="Calibri" w:cs="Calibri"/>
          <w:b/>
          <w:bCs/>
          <w:color w:val="000000" w:themeColor="text1"/>
          <w:vertAlign w:val="superscript"/>
          <w:lang w:val="en-US"/>
        </w:rPr>
        <w:t>th</w:t>
      </w:r>
      <w:r w:rsidR="001B16D6" w:rsidRPr="2BC96DB5">
        <w:rPr>
          <w:rFonts w:ascii="Calibri" w:eastAsia="Calibri" w:hAnsi="Calibri" w:cs="Calibri"/>
          <w:b/>
          <w:bCs/>
          <w:color w:val="000000" w:themeColor="text1"/>
          <w:lang w:val="en-US"/>
        </w:rPr>
        <w:t xml:space="preserve">, </w:t>
      </w:r>
      <w:r w:rsidR="3E4172EC" w:rsidRPr="2BC96DB5">
        <w:rPr>
          <w:rFonts w:ascii="Calibri" w:eastAsia="Calibri" w:hAnsi="Calibri" w:cs="Calibri"/>
          <w:b/>
          <w:bCs/>
          <w:color w:val="000000" w:themeColor="text1"/>
          <w:lang w:val="en-US"/>
        </w:rPr>
        <w:t>202</w:t>
      </w:r>
      <w:r w:rsidR="00D070BA">
        <w:rPr>
          <w:rFonts w:ascii="Calibri" w:eastAsia="Calibri" w:hAnsi="Calibri" w:cs="Calibri"/>
          <w:b/>
          <w:bCs/>
          <w:color w:val="000000" w:themeColor="text1"/>
          <w:lang w:val="en-US"/>
        </w:rPr>
        <w:t>5</w:t>
      </w:r>
      <w:r w:rsidR="5FFADD78" w:rsidRPr="2BC96DB5">
        <w:rPr>
          <w:rFonts w:ascii="Calibri" w:eastAsia="Calibri" w:hAnsi="Calibri" w:cs="Calibri"/>
          <w:b/>
          <w:bCs/>
          <w:color w:val="000000" w:themeColor="text1"/>
          <w:lang w:val="en-US"/>
        </w:rPr>
        <w:t>, 5PM (Berlin time, CET)</w:t>
      </w:r>
    </w:p>
    <w:p w14:paraId="538BDF92" w14:textId="09A41222" w:rsidR="5FFADD78" w:rsidRDefault="5FFADD78" w:rsidP="7D29194D">
      <w:r w:rsidRPr="2BC96DB5">
        <w:rPr>
          <w:rFonts w:ascii="Calibri" w:eastAsia="Calibri" w:hAnsi="Calibri" w:cs="Calibri"/>
          <w:b/>
          <w:bCs/>
          <w:color w:val="000000" w:themeColor="text1"/>
          <w:lang w:val="en-US"/>
        </w:rPr>
        <w:t>Registration link:</w:t>
      </w:r>
      <w:r w:rsidR="00F941CD" w:rsidRPr="2BC96DB5">
        <w:rPr>
          <w:rFonts w:ascii="Calibri" w:eastAsia="Calibri" w:hAnsi="Calibri" w:cs="Calibri"/>
          <w:b/>
          <w:bCs/>
          <w:color w:val="000000" w:themeColor="text1"/>
          <w:lang w:val="en-US"/>
        </w:rPr>
        <w:t xml:space="preserve"> </w:t>
      </w:r>
    </w:p>
    <w:p w14:paraId="7A253563" w14:textId="1C02930E" w:rsidR="00AA0E28" w:rsidRDefault="00DC30D2" w:rsidP="00C14576">
      <w:pPr>
        <w:spacing w:after="0"/>
        <w:jc w:val="both"/>
      </w:pPr>
      <w:hyperlink r:id="rId9" w:history="1">
        <w:r w:rsidRPr="00CC67ED">
          <w:rPr>
            <w:rStyle w:val="Hyperlink"/>
          </w:rPr>
          <w:t>https://us06web.zoom.us/webinar/register/WN_Vh44ogJfTruqHqc1iaxnsw</w:t>
        </w:r>
      </w:hyperlink>
    </w:p>
    <w:p w14:paraId="7BF77842" w14:textId="77777777" w:rsidR="00DC30D2" w:rsidRDefault="00DC30D2" w:rsidP="00C14576">
      <w:pPr>
        <w:spacing w:after="0"/>
        <w:jc w:val="both"/>
      </w:pPr>
    </w:p>
    <w:p w14:paraId="31AB511C" w14:textId="6E9AB146" w:rsidR="00D070BA" w:rsidRDefault="00DC30D2" w:rsidP="00C14576">
      <w:pPr>
        <w:spacing w:after="0"/>
        <w:jc w:val="both"/>
        <w:rPr>
          <w:rFonts w:ascii="Calibri" w:eastAsia="Calibri" w:hAnsi="Calibri" w:cs="Calibri"/>
          <w:b/>
          <w:bCs/>
          <w:color w:val="000000" w:themeColor="text1"/>
          <w:lang w:val="en-US"/>
        </w:rPr>
      </w:pPr>
      <w:r w:rsidRPr="00DC30D2">
        <w:rPr>
          <w:rFonts w:ascii="Calibri" w:eastAsia="Calibri" w:hAnsi="Calibri" w:cs="Calibri"/>
          <w:b/>
          <w:bCs/>
          <w:color w:val="000000" w:themeColor="text1"/>
          <w:lang w:val="en-US"/>
        </w:rPr>
        <w:t>Enabling High Throughput Chemistry in Flow to Access Novel Chemical Space for Drug Discovery</w:t>
      </w:r>
    </w:p>
    <w:p w14:paraId="0A5D7A9A" w14:textId="77777777" w:rsidR="00DC30D2" w:rsidRDefault="00DC30D2" w:rsidP="00C14576">
      <w:pPr>
        <w:spacing w:after="0"/>
        <w:jc w:val="both"/>
        <w:rPr>
          <w:rFonts w:ascii="Calibri" w:eastAsia="Calibri" w:hAnsi="Calibri" w:cs="Calibri"/>
          <w:b/>
          <w:bCs/>
          <w:color w:val="000000" w:themeColor="text1"/>
          <w:lang w:val="en-US"/>
        </w:rPr>
      </w:pPr>
    </w:p>
    <w:p w14:paraId="6D1EC1B9" w14:textId="77777777" w:rsidR="00DC30D2" w:rsidRPr="00357E7D" w:rsidRDefault="00DC30D2" w:rsidP="00DC30D2">
      <w:pPr>
        <w:jc w:val="both"/>
      </w:pPr>
      <w:r>
        <w:t>Enabling chemical space is a key element for Drug Discovery</w:t>
      </w:r>
      <w:r w:rsidRPr="00357E7D">
        <w:t>.</w:t>
      </w:r>
      <w:r>
        <w:rPr>
          <w:rStyle w:val="FootnoteReference"/>
        </w:rPr>
        <w:footnoteReference w:id="1"/>
      </w:r>
      <w:r>
        <w:t xml:space="preserve"> </w:t>
      </w:r>
      <w:r w:rsidRPr="00357E7D">
        <w:t>However, methodologies to</w:t>
      </w:r>
      <w:r>
        <w:t xml:space="preserve"> build molecules in a medicinal chemistry setting is limited and has not been changed over the last years.</w:t>
      </w:r>
      <w:r>
        <w:rPr>
          <w:rStyle w:val="FootnoteReference"/>
        </w:rPr>
        <w:footnoteReference w:id="2"/>
      </w:r>
      <w:r>
        <w:t xml:space="preserve"> </w:t>
      </w:r>
      <w:r w:rsidRPr="00357E7D">
        <w:t>There is a clear need to develop new methodologies for such transformations that can be applicable in a Drug Discovery setting.</w:t>
      </w:r>
      <w:r>
        <w:rPr>
          <w:rStyle w:val="FootnoteReference"/>
        </w:rPr>
        <w:footnoteReference w:id="3"/>
      </w:r>
      <w:r w:rsidRPr="00357E7D">
        <w:t xml:space="preserve"> </w:t>
      </w:r>
    </w:p>
    <w:p w14:paraId="651FEA8B" w14:textId="77777777" w:rsidR="00DC30D2" w:rsidRPr="00357E7D" w:rsidRDefault="00DC30D2" w:rsidP="00DC30D2">
      <w:pPr>
        <w:jc w:val="both"/>
      </w:pPr>
      <w:r w:rsidRPr="00357E7D">
        <w:t xml:space="preserve">Continuous flow chemistry has recently emerged as a novel chemical tool that can help chemists to access chemistries </w:t>
      </w:r>
      <w:r>
        <w:t xml:space="preserve">not suitable in batch </w:t>
      </w:r>
      <w:r w:rsidRPr="00357E7D">
        <w:t xml:space="preserve">and make them real alternatives </w:t>
      </w:r>
      <w:r>
        <w:t>in synthetic pathways</w:t>
      </w:r>
      <w:r w:rsidRPr="00357E7D">
        <w:t xml:space="preserve">. </w:t>
      </w:r>
      <w:r>
        <w:t>In this way it enables access to novel chemical space not available by traditional batch procedures. The enablement of automation in flow devices has supported the development of High Throughput Flow Chemistry as a tool for Drug Discovery.</w:t>
      </w:r>
    </w:p>
    <w:p w14:paraId="02F4B9AB" w14:textId="77777777" w:rsidR="00DC30D2" w:rsidRDefault="00DC30D2" w:rsidP="00DC30D2">
      <w:pPr>
        <w:jc w:val="both"/>
      </w:pPr>
      <w:r w:rsidRPr="00357E7D">
        <w:t xml:space="preserve">In this presentation we are going to disclose </w:t>
      </w:r>
      <w:r>
        <w:t>how advantages of flow chemistry can be translated to methodologies that can help medicinal chemist access novel chemical space. H</w:t>
      </w:r>
      <w:r w:rsidRPr="00357E7D">
        <w:t xml:space="preserve">ow flow chemistry can </w:t>
      </w:r>
      <w:r>
        <w:t xml:space="preserve">impact in this way Drug Discovery, how these tools can then be automated for library synthesis and </w:t>
      </w:r>
      <w:r w:rsidRPr="00357E7D">
        <w:t xml:space="preserve">access this new chemical space in a high throughput format. </w:t>
      </w:r>
      <w:r>
        <w:t>We will also disclose some ideas about how the future will look like.</w:t>
      </w:r>
      <w:r>
        <w:rPr>
          <w:rStyle w:val="FootnoteReference"/>
        </w:rPr>
        <w:footnoteReference w:id="4"/>
      </w:r>
      <w:r w:rsidRPr="00AB539D">
        <w:t xml:space="preserve"> </w:t>
      </w:r>
    </w:p>
    <w:p w14:paraId="597B3CFB" w14:textId="342DE4FE" w:rsidR="0070727B" w:rsidRDefault="0070727B" w:rsidP="0070727B">
      <w:pPr>
        <w:jc w:val="center"/>
      </w:pPr>
      <w:r>
        <w:object w:dxaOrig="7790" w:dyaOrig="5530" w14:anchorId="67DF3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25pt;height:198pt" o:ole="">
            <v:imagedata r:id="rId10" o:title=""/>
          </v:shape>
          <o:OLEObject Type="Embed" ProgID="ChemDraw.Document.6.0" ShapeID="_x0000_i1025" DrawAspect="Content" ObjectID="_1800180539" r:id="rId11"/>
        </w:object>
      </w:r>
    </w:p>
    <w:sectPr w:rsidR="0070727B">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2166" w14:textId="77777777" w:rsidR="008763D9" w:rsidRDefault="008763D9" w:rsidP="005511AA">
      <w:pPr>
        <w:spacing w:after="0" w:line="240" w:lineRule="auto"/>
      </w:pPr>
      <w:r>
        <w:separator/>
      </w:r>
    </w:p>
  </w:endnote>
  <w:endnote w:type="continuationSeparator" w:id="0">
    <w:p w14:paraId="45140462" w14:textId="77777777" w:rsidR="008763D9" w:rsidRDefault="008763D9" w:rsidP="00551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D7F2A3" w14:paraId="403F0534" w14:textId="77777777" w:rsidTr="36D7F2A3">
      <w:trPr>
        <w:trHeight w:val="300"/>
      </w:trPr>
      <w:tc>
        <w:tcPr>
          <w:tcW w:w="3005" w:type="dxa"/>
        </w:tcPr>
        <w:p w14:paraId="15AC5DA6" w14:textId="5983D918" w:rsidR="36D7F2A3" w:rsidRDefault="36D7F2A3" w:rsidP="36D7F2A3">
          <w:pPr>
            <w:pStyle w:val="Header"/>
            <w:ind w:left="-115"/>
          </w:pPr>
        </w:p>
      </w:tc>
      <w:tc>
        <w:tcPr>
          <w:tcW w:w="3005" w:type="dxa"/>
        </w:tcPr>
        <w:p w14:paraId="7042BC75" w14:textId="7C818A3F" w:rsidR="36D7F2A3" w:rsidRDefault="36D7F2A3" w:rsidP="36D7F2A3">
          <w:pPr>
            <w:pStyle w:val="Header"/>
            <w:jc w:val="center"/>
          </w:pPr>
        </w:p>
      </w:tc>
      <w:tc>
        <w:tcPr>
          <w:tcW w:w="3005" w:type="dxa"/>
        </w:tcPr>
        <w:p w14:paraId="0C38AB7C" w14:textId="5FF6A63D" w:rsidR="36D7F2A3" w:rsidRDefault="36D7F2A3" w:rsidP="36D7F2A3">
          <w:pPr>
            <w:pStyle w:val="Header"/>
            <w:ind w:right="-115"/>
            <w:jc w:val="right"/>
          </w:pPr>
        </w:p>
      </w:tc>
    </w:tr>
  </w:tbl>
  <w:p w14:paraId="502B9507" w14:textId="45B9BF6F" w:rsidR="36D7F2A3" w:rsidRDefault="36D7F2A3" w:rsidP="36D7F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D22AD" w14:textId="77777777" w:rsidR="008763D9" w:rsidRDefault="008763D9" w:rsidP="005511AA">
      <w:pPr>
        <w:spacing w:after="0" w:line="240" w:lineRule="auto"/>
      </w:pPr>
      <w:r>
        <w:separator/>
      </w:r>
    </w:p>
  </w:footnote>
  <w:footnote w:type="continuationSeparator" w:id="0">
    <w:p w14:paraId="2970F8ED" w14:textId="77777777" w:rsidR="008763D9" w:rsidRDefault="008763D9" w:rsidP="005511AA">
      <w:pPr>
        <w:spacing w:after="0" w:line="240" w:lineRule="auto"/>
      </w:pPr>
      <w:r>
        <w:continuationSeparator/>
      </w:r>
    </w:p>
  </w:footnote>
  <w:footnote w:id="1">
    <w:p w14:paraId="01837AE4" w14:textId="77777777" w:rsidR="00DC30D2" w:rsidRPr="00CF29D0" w:rsidRDefault="00DC30D2" w:rsidP="00DC30D2">
      <w:pPr>
        <w:pStyle w:val="FootnoteText"/>
      </w:pPr>
      <w:r>
        <w:rPr>
          <w:rStyle w:val="FootnoteReference"/>
        </w:rPr>
        <w:footnoteRef/>
      </w:r>
      <w:r>
        <w:t xml:space="preserve"> </w:t>
      </w:r>
      <w:r w:rsidRPr="00357E7D">
        <w:rPr>
          <w:sz w:val="18"/>
          <w:szCs w:val="18"/>
        </w:rPr>
        <w:t>(a)</w:t>
      </w:r>
      <w:r>
        <w:rPr>
          <w:sz w:val="18"/>
          <w:szCs w:val="18"/>
        </w:rPr>
        <w:t xml:space="preserve"> Flow Chemistry in Drug Discovery (Ed.: </w:t>
      </w:r>
      <w:proofErr w:type="spellStart"/>
      <w:r>
        <w:rPr>
          <w:sz w:val="18"/>
          <w:szCs w:val="18"/>
        </w:rPr>
        <w:t>Alcázar</w:t>
      </w:r>
      <w:proofErr w:type="spellEnd"/>
      <w:r>
        <w:rPr>
          <w:sz w:val="18"/>
          <w:szCs w:val="18"/>
        </w:rPr>
        <w:t xml:space="preserve">, J.; de la </w:t>
      </w:r>
      <w:proofErr w:type="spellStart"/>
      <w:r>
        <w:rPr>
          <w:sz w:val="18"/>
          <w:szCs w:val="18"/>
        </w:rPr>
        <w:t>Hoz</w:t>
      </w:r>
      <w:proofErr w:type="spellEnd"/>
      <w:r>
        <w:rPr>
          <w:sz w:val="18"/>
          <w:szCs w:val="18"/>
        </w:rPr>
        <w:t>, A.; Díaz-</w:t>
      </w:r>
      <w:proofErr w:type="spellStart"/>
      <w:r>
        <w:rPr>
          <w:sz w:val="18"/>
          <w:szCs w:val="18"/>
        </w:rPr>
        <w:t>ortiz</w:t>
      </w:r>
      <w:proofErr w:type="spellEnd"/>
      <w:r>
        <w:rPr>
          <w:sz w:val="18"/>
          <w:szCs w:val="18"/>
        </w:rPr>
        <w:t xml:space="preserve">, A.), Topics in Medicinal Chemistry 38. </w:t>
      </w:r>
      <w:r w:rsidRPr="00BE77F5">
        <w:rPr>
          <w:b/>
          <w:bCs/>
          <w:sz w:val="18"/>
          <w:szCs w:val="18"/>
        </w:rPr>
        <w:t>2021</w:t>
      </w:r>
      <w:r>
        <w:rPr>
          <w:sz w:val="18"/>
          <w:szCs w:val="18"/>
        </w:rPr>
        <w:t xml:space="preserve">, Nature, </w:t>
      </w:r>
      <w:proofErr w:type="spellStart"/>
      <w:r>
        <w:rPr>
          <w:sz w:val="18"/>
          <w:szCs w:val="18"/>
        </w:rPr>
        <w:t>Gewerbestrasse</w:t>
      </w:r>
      <w:proofErr w:type="spellEnd"/>
      <w:r>
        <w:rPr>
          <w:sz w:val="18"/>
          <w:szCs w:val="18"/>
        </w:rPr>
        <w:t>, Switzerland; (b)</w:t>
      </w:r>
      <w:r w:rsidRPr="00357E7D">
        <w:rPr>
          <w:sz w:val="18"/>
          <w:szCs w:val="18"/>
        </w:rPr>
        <w:t xml:space="preserve"> Meyers, J.; Carte, M.; Mok, N. Y.; Brown, N. </w:t>
      </w:r>
      <w:r w:rsidRPr="00357E7D">
        <w:rPr>
          <w:i/>
          <w:iCs/>
          <w:sz w:val="18"/>
          <w:szCs w:val="18"/>
        </w:rPr>
        <w:t>Future Med. Chem.</w:t>
      </w:r>
      <w:r w:rsidRPr="00357E7D">
        <w:rPr>
          <w:sz w:val="18"/>
          <w:szCs w:val="18"/>
        </w:rPr>
        <w:t xml:space="preserve"> </w:t>
      </w:r>
      <w:r w:rsidRPr="00357E7D">
        <w:rPr>
          <w:b/>
          <w:bCs/>
          <w:sz w:val="18"/>
          <w:szCs w:val="18"/>
        </w:rPr>
        <w:t>2016</w:t>
      </w:r>
      <w:r w:rsidRPr="00357E7D">
        <w:rPr>
          <w:sz w:val="18"/>
          <w:szCs w:val="18"/>
        </w:rPr>
        <w:t xml:space="preserve">, </w:t>
      </w:r>
      <w:r w:rsidRPr="00357E7D">
        <w:rPr>
          <w:i/>
          <w:iCs/>
          <w:sz w:val="18"/>
          <w:szCs w:val="18"/>
        </w:rPr>
        <w:t>8</w:t>
      </w:r>
      <w:r w:rsidRPr="00357E7D">
        <w:rPr>
          <w:sz w:val="18"/>
          <w:szCs w:val="18"/>
        </w:rPr>
        <w:t>, 1753; (</w:t>
      </w:r>
      <w:r>
        <w:rPr>
          <w:sz w:val="18"/>
          <w:szCs w:val="18"/>
        </w:rPr>
        <w:t>c</w:t>
      </w:r>
      <w:r w:rsidRPr="00357E7D">
        <w:rPr>
          <w:sz w:val="18"/>
          <w:szCs w:val="18"/>
        </w:rPr>
        <w:t xml:space="preserve">) Tsukamoto, T. </w:t>
      </w:r>
      <w:r w:rsidRPr="00357E7D">
        <w:rPr>
          <w:i/>
          <w:iCs/>
          <w:sz w:val="18"/>
          <w:szCs w:val="18"/>
        </w:rPr>
        <w:t>ACS Med. Chem. Lett.</w:t>
      </w:r>
      <w:r w:rsidRPr="00357E7D">
        <w:rPr>
          <w:sz w:val="18"/>
          <w:szCs w:val="18"/>
        </w:rPr>
        <w:t xml:space="preserve"> </w:t>
      </w:r>
      <w:r w:rsidRPr="00357E7D">
        <w:rPr>
          <w:b/>
          <w:bCs/>
          <w:sz w:val="18"/>
          <w:szCs w:val="18"/>
        </w:rPr>
        <w:t>2013</w:t>
      </w:r>
      <w:r w:rsidRPr="00357E7D">
        <w:rPr>
          <w:sz w:val="18"/>
          <w:szCs w:val="18"/>
        </w:rPr>
        <w:t xml:space="preserve">, </w:t>
      </w:r>
      <w:r w:rsidRPr="00357E7D">
        <w:rPr>
          <w:i/>
          <w:iCs/>
          <w:sz w:val="18"/>
          <w:szCs w:val="18"/>
        </w:rPr>
        <w:t>4</w:t>
      </w:r>
      <w:r w:rsidRPr="00357E7D">
        <w:rPr>
          <w:sz w:val="18"/>
          <w:szCs w:val="18"/>
        </w:rPr>
        <w:t>, 369; (</w:t>
      </w:r>
      <w:r>
        <w:rPr>
          <w:sz w:val="18"/>
          <w:szCs w:val="18"/>
        </w:rPr>
        <w:t>d</w:t>
      </w:r>
      <w:r w:rsidRPr="00357E7D">
        <w:rPr>
          <w:sz w:val="18"/>
          <w:szCs w:val="18"/>
        </w:rPr>
        <w:t xml:space="preserve">) Walters, W. P.; Green, J.; Weiss, J. R.; </w:t>
      </w:r>
      <w:proofErr w:type="spellStart"/>
      <w:r w:rsidRPr="00357E7D">
        <w:rPr>
          <w:sz w:val="18"/>
          <w:szCs w:val="18"/>
        </w:rPr>
        <w:t>Murcko</w:t>
      </w:r>
      <w:proofErr w:type="spellEnd"/>
      <w:r w:rsidRPr="00357E7D">
        <w:rPr>
          <w:sz w:val="18"/>
          <w:szCs w:val="18"/>
        </w:rPr>
        <w:t xml:space="preserve">, M. A. </w:t>
      </w:r>
      <w:r w:rsidRPr="00357E7D">
        <w:rPr>
          <w:i/>
          <w:iCs/>
          <w:sz w:val="18"/>
          <w:szCs w:val="18"/>
        </w:rPr>
        <w:t xml:space="preserve">J. Med. Chem. </w:t>
      </w:r>
      <w:r w:rsidRPr="00357E7D">
        <w:rPr>
          <w:b/>
          <w:bCs/>
          <w:sz w:val="18"/>
          <w:szCs w:val="18"/>
        </w:rPr>
        <w:t>2011</w:t>
      </w:r>
      <w:r w:rsidRPr="00357E7D">
        <w:rPr>
          <w:sz w:val="18"/>
          <w:szCs w:val="18"/>
        </w:rPr>
        <w:t xml:space="preserve">, </w:t>
      </w:r>
      <w:r w:rsidRPr="00357E7D">
        <w:rPr>
          <w:i/>
          <w:iCs/>
          <w:sz w:val="18"/>
          <w:szCs w:val="18"/>
        </w:rPr>
        <w:t>54</w:t>
      </w:r>
      <w:r w:rsidRPr="00357E7D">
        <w:rPr>
          <w:sz w:val="18"/>
          <w:szCs w:val="18"/>
        </w:rPr>
        <w:t>, 6405.</w:t>
      </w:r>
    </w:p>
  </w:footnote>
  <w:footnote w:id="2">
    <w:p w14:paraId="2C0E1EED" w14:textId="77777777" w:rsidR="00DC30D2" w:rsidRPr="005A5C28" w:rsidRDefault="00DC30D2" w:rsidP="00DC30D2">
      <w:pPr>
        <w:pStyle w:val="FootnoteText"/>
      </w:pPr>
      <w:r>
        <w:rPr>
          <w:rStyle w:val="FootnoteReference"/>
        </w:rPr>
        <w:footnoteRef/>
      </w:r>
      <w:r w:rsidRPr="00F60CA5">
        <w:t xml:space="preserve"> López, E.; Linares, M. L.; </w:t>
      </w:r>
      <w:proofErr w:type="spellStart"/>
      <w:r w:rsidRPr="00F60CA5">
        <w:t>Alcázar</w:t>
      </w:r>
      <w:proofErr w:type="spellEnd"/>
      <w:r w:rsidRPr="00F60CA5">
        <w:t xml:space="preserve">, J. </w:t>
      </w:r>
      <w:r w:rsidRPr="00F60CA5">
        <w:rPr>
          <w:i/>
          <w:iCs/>
        </w:rPr>
        <w:t xml:space="preserve">Future med. </w:t>
      </w:r>
      <w:r w:rsidRPr="005A5C28">
        <w:rPr>
          <w:i/>
          <w:iCs/>
        </w:rPr>
        <w:t xml:space="preserve">Chem. </w:t>
      </w:r>
      <w:r w:rsidRPr="005A5C28">
        <w:rPr>
          <w:b/>
          <w:bCs/>
        </w:rPr>
        <w:t>2020</w:t>
      </w:r>
      <w:r w:rsidRPr="005A5C28">
        <w:t xml:space="preserve">, </w:t>
      </w:r>
      <w:r w:rsidRPr="005A5C28">
        <w:rPr>
          <w:i/>
          <w:iCs/>
        </w:rPr>
        <w:t>12</w:t>
      </w:r>
      <w:r w:rsidRPr="005A5C28">
        <w:t>, 1547.</w:t>
      </w:r>
    </w:p>
  </w:footnote>
  <w:footnote w:id="3">
    <w:p w14:paraId="34C52702" w14:textId="77777777" w:rsidR="00DC30D2" w:rsidRPr="00471C60" w:rsidRDefault="00DC30D2" w:rsidP="00DC30D2">
      <w:pPr>
        <w:pStyle w:val="FootnoteText"/>
        <w:rPr>
          <w:lang w:val="es-ES_tradnl"/>
        </w:rPr>
      </w:pPr>
      <w:r>
        <w:rPr>
          <w:rStyle w:val="FootnoteReference"/>
        </w:rPr>
        <w:footnoteRef/>
      </w:r>
      <w:r w:rsidRPr="005A5C28">
        <w:t xml:space="preserve"> </w:t>
      </w:r>
      <w:r w:rsidRPr="005A5C28">
        <w:rPr>
          <w:sz w:val="18"/>
          <w:szCs w:val="18"/>
        </w:rPr>
        <w:t xml:space="preserve">(a) </w:t>
      </w:r>
      <w:proofErr w:type="spellStart"/>
      <w:r w:rsidRPr="005A5C28">
        <w:rPr>
          <w:sz w:val="18"/>
          <w:szCs w:val="18"/>
        </w:rPr>
        <w:t>Roughley</w:t>
      </w:r>
      <w:proofErr w:type="spellEnd"/>
      <w:r w:rsidRPr="005A5C28">
        <w:rPr>
          <w:sz w:val="18"/>
          <w:szCs w:val="18"/>
        </w:rPr>
        <w:t xml:space="preserve">, S. D.; Jordan, A. M. </w:t>
      </w:r>
      <w:r w:rsidRPr="005A5C28">
        <w:rPr>
          <w:i/>
          <w:iCs/>
          <w:sz w:val="18"/>
          <w:szCs w:val="18"/>
        </w:rPr>
        <w:t xml:space="preserve">J. Med. </w:t>
      </w:r>
      <w:r w:rsidRPr="00357E7D">
        <w:rPr>
          <w:i/>
          <w:iCs/>
          <w:sz w:val="18"/>
          <w:szCs w:val="18"/>
        </w:rPr>
        <w:t>Chem.</w:t>
      </w:r>
      <w:r w:rsidRPr="00357E7D">
        <w:rPr>
          <w:sz w:val="18"/>
          <w:szCs w:val="18"/>
        </w:rPr>
        <w:t xml:space="preserve"> </w:t>
      </w:r>
      <w:r w:rsidRPr="00357E7D">
        <w:rPr>
          <w:b/>
          <w:bCs/>
          <w:sz w:val="18"/>
          <w:szCs w:val="18"/>
        </w:rPr>
        <w:t>2011</w:t>
      </w:r>
      <w:r w:rsidRPr="00357E7D">
        <w:rPr>
          <w:sz w:val="18"/>
          <w:szCs w:val="18"/>
        </w:rPr>
        <w:t xml:space="preserve">, </w:t>
      </w:r>
      <w:r w:rsidRPr="00357E7D">
        <w:rPr>
          <w:i/>
          <w:iCs/>
          <w:sz w:val="18"/>
          <w:szCs w:val="18"/>
        </w:rPr>
        <w:t>54</w:t>
      </w:r>
      <w:r w:rsidRPr="00357E7D">
        <w:rPr>
          <w:sz w:val="18"/>
          <w:szCs w:val="18"/>
        </w:rPr>
        <w:t xml:space="preserve">, 3451; (b) Brown, G. D.; </w:t>
      </w:r>
      <w:proofErr w:type="spellStart"/>
      <w:r w:rsidRPr="00357E7D">
        <w:rPr>
          <w:sz w:val="18"/>
          <w:szCs w:val="18"/>
        </w:rPr>
        <w:t>Boström</w:t>
      </w:r>
      <w:proofErr w:type="spellEnd"/>
      <w:r w:rsidRPr="00357E7D">
        <w:rPr>
          <w:sz w:val="18"/>
          <w:szCs w:val="18"/>
        </w:rPr>
        <w:t xml:space="preserve">, J. </w:t>
      </w:r>
      <w:r w:rsidRPr="00357E7D">
        <w:rPr>
          <w:i/>
          <w:iCs/>
          <w:sz w:val="18"/>
          <w:szCs w:val="18"/>
        </w:rPr>
        <w:t>J. Med. Chem.</w:t>
      </w:r>
      <w:r w:rsidRPr="00357E7D">
        <w:rPr>
          <w:sz w:val="18"/>
          <w:szCs w:val="18"/>
        </w:rPr>
        <w:t xml:space="preserve"> </w:t>
      </w:r>
      <w:r w:rsidRPr="00357E7D">
        <w:rPr>
          <w:b/>
          <w:bCs/>
          <w:sz w:val="18"/>
          <w:szCs w:val="18"/>
        </w:rPr>
        <w:t>2016</w:t>
      </w:r>
      <w:r w:rsidRPr="00357E7D">
        <w:rPr>
          <w:sz w:val="18"/>
          <w:szCs w:val="18"/>
        </w:rPr>
        <w:t xml:space="preserve">, </w:t>
      </w:r>
      <w:r w:rsidRPr="00357E7D">
        <w:rPr>
          <w:i/>
          <w:iCs/>
          <w:sz w:val="18"/>
          <w:szCs w:val="18"/>
        </w:rPr>
        <w:t>59</w:t>
      </w:r>
      <w:r w:rsidRPr="00357E7D">
        <w:rPr>
          <w:sz w:val="18"/>
          <w:szCs w:val="18"/>
        </w:rPr>
        <w:t xml:space="preserve">, 4443; (c) Wang, Y.; Haight, I.; Gupta, R.; Vasudevan, A. </w:t>
      </w:r>
      <w:r w:rsidRPr="00357E7D">
        <w:rPr>
          <w:i/>
          <w:iCs/>
          <w:sz w:val="18"/>
          <w:szCs w:val="18"/>
        </w:rPr>
        <w:t xml:space="preserve">J. Med. Chem. </w:t>
      </w:r>
      <w:r w:rsidRPr="00357E7D">
        <w:rPr>
          <w:b/>
          <w:bCs/>
          <w:sz w:val="18"/>
          <w:szCs w:val="18"/>
        </w:rPr>
        <w:t>2021</w:t>
      </w:r>
      <w:r w:rsidRPr="00357E7D">
        <w:rPr>
          <w:sz w:val="18"/>
          <w:szCs w:val="18"/>
        </w:rPr>
        <w:t xml:space="preserve">, </w:t>
      </w:r>
      <w:r w:rsidRPr="00357E7D">
        <w:rPr>
          <w:i/>
          <w:iCs/>
          <w:sz w:val="18"/>
          <w:szCs w:val="18"/>
        </w:rPr>
        <w:t>64</w:t>
      </w:r>
      <w:r>
        <w:rPr>
          <w:sz w:val="18"/>
          <w:szCs w:val="18"/>
        </w:rPr>
        <w:t xml:space="preserve">, 17115; </w:t>
      </w:r>
      <w:r w:rsidRPr="00357E7D">
        <w:rPr>
          <w:sz w:val="18"/>
          <w:szCs w:val="18"/>
        </w:rPr>
        <w:t xml:space="preserve">(d) Dombrowski, A. W.; Aguirre, A. L.; Shrestha, A.; Sarris, K. A.; Wang, Y. </w:t>
      </w:r>
      <w:r w:rsidRPr="00357E7D">
        <w:rPr>
          <w:i/>
          <w:iCs/>
          <w:sz w:val="18"/>
          <w:szCs w:val="18"/>
        </w:rPr>
        <w:t xml:space="preserve">J. Org. </w:t>
      </w:r>
      <w:proofErr w:type="spellStart"/>
      <w:r w:rsidRPr="00357E7D">
        <w:rPr>
          <w:i/>
          <w:iCs/>
          <w:sz w:val="18"/>
          <w:szCs w:val="18"/>
          <w:lang w:val="es-ES"/>
        </w:rPr>
        <w:t>Chem</w:t>
      </w:r>
      <w:proofErr w:type="spellEnd"/>
      <w:r w:rsidRPr="00357E7D">
        <w:rPr>
          <w:i/>
          <w:iCs/>
          <w:sz w:val="18"/>
          <w:szCs w:val="18"/>
          <w:lang w:val="es-ES"/>
        </w:rPr>
        <w:t>.</w:t>
      </w:r>
      <w:r w:rsidRPr="00357E7D">
        <w:rPr>
          <w:sz w:val="18"/>
          <w:szCs w:val="18"/>
          <w:lang w:val="es-ES"/>
        </w:rPr>
        <w:t xml:space="preserve"> </w:t>
      </w:r>
      <w:r w:rsidRPr="00357E7D">
        <w:rPr>
          <w:b/>
          <w:bCs/>
          <w:sz w:val="18"/>
          <w:szCs w:val="18"/>
          <w:lang w:val="es-ES"/>
        </w:rPr>
        <w:t>2021</w:t>
      </w:r>
      <w:r w:rsidRPr="00357E7D">
        <w:rPr>
          <w:sz w:val="18"/>
          <w:szCs w:val="18"/>
          <w:lang w:val="es-ES"/>
        </w:rPr>
        <w:t>, DOI: 10.1021/acs.joc.1c01427.</w:t>
      </w:r>
    </w:p>
  </w:footnote>
  <w:footnote w:id="4">
    <w:p w14:paraId="0A765846" w14:textId="77777777" w:rsidR="00DC30D2" w:rsidRPr="00B24A61" w:rsidRDefault="00DC30D2" w:rsidP="00DC30D2">
      <w:pPr>
        <w:pStyle w:val="FootnoteText"/>
      </w:pPr>
      <w:r w:rsidRPr="008812CB">
        <w:rPr>
          <w:rStyle w:val="FootnoteReference"/>
          <w:sz w:val="18"/>
          <w:szCs w:val="18"/>
        </w:rPr>
        <w:footnoteRef/>
      </w:r>
      <w:r w:rsidRPr="008812CB">
        <w:rPr>
          <w:sz w:val="18"/>
          <w:szCs w:val="18"/>
          <w:lang w:val="es-ES"/>
        </w:rPr>
        <w:t xml:space="preserve"> (a) </w:t>
      </w:r>
      <w:proofErr w:type="spellStart"/>
      <w:r w:rsidRPr="008812CB">
        <w:rPr>
          <w:sz w:val="18"/>
          <w:szCs w:val="18"/>
          <w:lang w:val="es-ES"/>
        </w:rPr>
        <w:t>Pijper</w:t>
      </w:r>
      <w:proofErr w:type="spellEnd"/>
      <w:r w:rsidRPr="008812CB">
        <w:rPr>
          <w:sz w:val="18"/>
          <w:szCs w:val="18"/>
          <w:lang w:val="es-ES"/>
        </w:rPr>
        <w:t xml:space="preserve">, B.; </w:t>
      </w:r>
      <w:proofErr w:type="spellStart"/>
      <w:r w:rsidRPr="008812CB">
        <w:rPr>
          <w:sz w:val="18"/>
          <w:szCs w:val="18"/>
          <w:lang w:val="es-ES"/>
        </w:rPr>
        <w:t>Abdiaj</w:t>
      </w:r>
      <w:proofErr w:type="spellEnd"/>
      <w:r w:rsidRPr="008812CB">
        <w:rPr>
          <w:sz w:val="18"/>
          <w:szCs w:val="18"/>
          <w:lang w:val="es-ES"/>
        </w:rPr>
        <w:t>, I.</w:t>
      </w:r>
      <w:r>
        <w:rPr>
          <w:sz w:val="18"/>
          <w:szCs w:val="18"/>
          <w:lang w:val="es-ES"/>
        </w:rPr>
        <w:t>;</w:t>
      </w:r>
      <w:r w:rsidRPr="008812CB">
        <w:rPr>
          <w:sz w:val="18"/>
          <w:szCs w:val="18"/>
          <w:lang w:val="es-ES"/>
        </w:rPr>
        <w:t xml:space="preserve"> Maz</w:t>
      </w:r>
      <w:r>
        <w:rPr>
          <w:sz w:val="18"/>
          <w:szCs w:val="18"/>
          <w:lang w:val="es-ES"/>
        </w:rPr>
        <w:t xml:space="preserve">uela, J.; Linares, M.L.; Gómez, J.E.; Rodriguez, R.; Chaves Arquero, B.; Palao, E.; Cañellas, S; Alcázar, J. </w:t>
      </w:r>
      <w:proofErr w:type="spellStart"/>
      <w:r>
        <w:rPr>
          <w:i/>
          <w:iCs/>
          <w:sz w:val="18"/>
          <w:szCs w:val="18"/>
          <w:lang w:val="es-ES"/>
        </w:rPr>
        <w:t>Chem</w:t>
      </w:r>
      <w:proofErr w:type="spellEnd"/>
      <w:r>
        <w:rPr>
          <w:i/>
          <w:iCs/>
          <w:sz w:val="18"/>
          <w:szCs w:val="18"/>
          <w:lang w:val="es-ES"/>
        </w:rPr>
        <w:t xml:space="preserve"> </w:t>
      </w:r>
      <w:proofErr w:type="spellStart"/>
      <w:r>
        <w:rPr>
          <w:i/>
          <w:iCs/>
          <w:sz w:val="18"/>
          <w:szCs w:val="18"/>
          <w:lang w:val="es-ES"/>
        </w:rPr>
        <w:t>Catal</w:t>
      </w:r>
      <w:proofErr w:type="spellEnd"/>
      <w:r>
        <w:rPr>
          <w:i/>
          <w:iCs/>
          <w:sz w:val="18"/>
          <w:szCs w:val="18"/>
          <w:lang w:val="es-ES"/>
        </w:rPr>
        <w:t xml:space="preserve">. </w:t>
      </w:r>
      <w:r w:rsidRPr="00B24A61">
        <w:rPr>
          <w:b/>
          <w:bCs/>
          <w:sz w:val="18"/>
          <w:szCs w:val="18"/>
        </w:rPr>
        <w:t>2024</w:t>
      </w:r>
      <w:r w:rsidRPr="00B24A61">
        <w:rPr>
          <w:sz w:val="18"/>
          <w:szCs w:val="18"/>
        </w:rPr>
        <w:t xml:space="preserve">, </w:t>
      </w:r>
      <w:r w:rsidRPr="00B24A61">
        <w:rPr>
          <w:i/>
          <w:iCs/>
          <w:sz w:val="18"/>
          <w:szCs w:val="18"/>
        </w:rPr>
        <w:t>4</w:t>
      </w:r>
      <w:r w:rsidRPr="00B24A61">
        <w:rPr>
          <w:sz w:val="18"/>
          <w:szCs w:val="18"/>
        </w:rPr>
        <w:t xml:space="preserve">, 101118; (b) </w:t>
      </w:r>
      <w:proofErr w:type="spellStart"/>
      <w:r w:rsidRPr="00B24A61">
        <w:rPr>
          <w:sz w:val="18"/>
          <w:szCs w:val="18"/>
        </w:rPr>
        <w:t>Oksdath-</w:t>
      </w:r>
      <w:r>
        <w:rPr>
          <w:sz w:val="18"/>
          <w:szCs w:val="18"/>
        </w:rPr>
        <w:t>M</w:t>
      </w:r>
      <w:r w:rsidRPr="00B24A61">
        <w:rPr>
          <w:sz w:val="18"/>
          <w:szCs w:val="18"/>
        </w:rPr>
        <w:t>ansilla</w:t>
      </w:r>
      <w:proofErr w:type="spellEnd"/>
      <w:r w:rsidRPr="00B24A61">
        <w:rPr>
          <w:sz w:val="18"/>
          <w:szCs w:val="18"/>
        </w:rPr>
        <w:t xml:space="preserve">, G.; </w:t>
      </w:r>
      <w:proofErr w:type="spellStart"/>
      <w:r w:rsidRPr="00B24A61">
        <w:rPr>
          <w:sz w:val="18"/>
          <w:szCs w:val="18"/>
        </w:rPr>
        <w:t>Bisogno</w:t>
      </w:r>
      <w:proofErr w:type="spellEnd"/>
      <w:r w:rsidRPr="00B24A61">
        <w:rPr>
          <w:sz w:val="18"/>
          <w:szCs w:val="18"/>
        </w:rPr>
        <w:t xml:space="preserve">, F.R.; </w:t>
      </w:r>
      <w:proofErr w:type="spellStart"/>
      <w:r w:rsidRPr="00B24A61">
        <w:rPr>
          <w:sz w:val="18"/>
          <w:szCs w:val="18"/>
        </w:rPr>
        <w:t>Pijper</w:t>
      </w:r>
      <w:proofErr w:type="spellEnd"/>
      <w:r w:rsidRPr="00B24A61">
        <w:rPr>
          <w:sz w:val="18"/>
          <w:szCs w:val="18"/>
        </w:rPr>
        <w:t xml:space="preserve">, B.; </w:t>
      </w:r>
      <w:proofErr w:type="spellStart"/>
      <w:r w:rsidRPr="00B24A61">
        <w:rPr>
          <w:sz w:val="18"/>
          <w:szCs w:val="18"/>
        </w:rPr>
        <w:t>Alcázar</w:t>
      </w:r>
      <w:proofErr w:type="spellEnd"/>
      <w:r w:rsidRPr="00B24A61">
        <w:rPr>
          <w:sz w:val="18"/>
          <w:szCs w:val="18"/>
        </w:rPr>
        <w:t xml:space="preserve">, J. </w:t>
      </w:r>
      <w:r w:rsidRPr="00B24A61">
        <w:rPr>
          <w:i/>
          <w:iCs/>
          <w:sz w:val="18"/>
          <w:szCs w:val="18"/>
        </w:rPr>
        <w:t xml:space="preserve">Chem </w:t>
      </w:r>
      <w:proofErr w:type="spellStart"/>
      <w:r w:rsidRPr="00B24A61">
        <w:rPr>
          <w:i/>
          <w:iCs/>
          <w:sz w:val="18"/>
          <w:szCs w:val="18"/>
        </w:rPr>
        <w:t>Catal</w:t>
      </w:r>
      <w:proofErr w:type="spellEnd"/>
      <w:r w:rsidRPr="00B24A61">
        <w:rPr>
          <w:i/>
          <w:iCs/>
          <w:sz w:val="18"/>
          <w:szCs w:val="18"/>
        </w:rPr>
        <w:t xml:space="preserve">. </w:t>
      </w:r>
      <w:r w:rsidRPr="00B24A61">
        <w:rPr>
          <w:b/>
          <w:bCs/>
          <w:sz w:val="18"/>
          <w:szCs w:val="18"/>
        </w:rPr>
        <w:t>2023</w:t>
      </w:r>
      <w:r w:rsidRPr="00B24A61">
        <w:rPr>
          <w:sz w:val="18"/>
          <w:szCs w:val="18"/>
        </w:rPr>
        <w:t xml:space="preserve">, </w:t>
      </w:r>
      <w:r w:rsidRPr="00B24A61">
        <w:rPr>
          <w:i/>
          <w:iCs/>
          <w:sz w:val="18"/>
          <w:szCs w:val="18"/>
        </w:rPr>
        <w:t>3</w:t>
      </w:r>
      <w:r w:rsidRPr="00B24A61">
        <w:rPr>
          <w:sz w:val="18"/>
          <w:szCs w:val="18"/>
        </w:rPr>
        <w:t>, 100487;</w:t>
      </w:r>
      <w:r>
        <w:rPr>
          <w:sz w:val="18"/>
          <w:szCs w:val="18"/>
        </w:rPr>
        <w:t xml:space="preserve"> (c)</w:t>
      </w:r>
      <w:r w:rsidRPr="00B24A61">
        <w:rPr>
          <w:sz w:val="18"/>
          <w:szCs w:val="18"/>
        </w:rPr>
        <w:t xml:space="preserve"> </w:t>
      </w:r>
      <w:proofErr w:type="spellStart"/>
      <w:r w:rsidRPr="00B24A61">
        <w:rPr>
          <w:sz w:val="18"/>
          <w:szCs w:val="18"/>
        </w:rPr>
        <w:t>Pijper</w:t>
      </w:r>
      <w:proofErr w:type="spellEnd"/>
      <w:r w:rsidRPr="00B24A61">
        <w:rPr>
          <w:sz w:val="18"/>
          <w:szCs w:val="18"/>
        </w:rPr>
        <w:t xml:space="preserve">, B.; </w:t>
      </w:r>
      <w:proofErr w:type="spellStart"/>
      <w:r w:rsidRPr="00B24A61">
        <w:rPr>
          <w:sz w:val="18"/>
          <w:szCs w:val="18"/>
        </w:rPr>
        <w:t>Alcázar</w:t>
      </w:r>
      <w:proofErr w:type="spellEnd"/>
      <w:r w:rsidRPr="00B24A61">
        <w:rPr>
          <w:sz w:val="18"/>
          <w:szCs w:val="18"/>
        </w:rPr>
        <w:t>, J.</w:t>
      </w:r>
      <w:r>
        <w:rPr>
          <w:sz w:val="18"/>
          <w:szCs w:val="18"/>
        </w:rPr>
        <w:t xml:space="preserve">; </w:t>
      </w:r>
      <w:proofErr w:type="spellStart"/>
      <w:r w:rsidRPr="00B24A61">
        <w:rPr>
          <w:sz w:val="18"/>
          <w:szCs w:val="18"/>
        </w:rPr>
        <w:t>Oksdath-</w:t>
      </w:r>
      <w:r>
        <w:rPr>
          <w:sz w:val="18"/>
          <w:szCs w:val="18"/>
        </w:rPr>
        <w:t>M</w:t>
      </w:r>
      <w:r w:rsidRPr="00B24A61">
        <w:rPr>
          <w:sz w:val="18"/>
          <w:szCs w:val="18"/>
        </w:rPr>
        <w:t>ansilla</w:t>
      </w:r>
      <w:proofErr w:type="spellEnd"/>
      <w:r w:rsidRPr="00B24A61">
        <w:rPr>
          <w:sz w:val="18"/>
          <w:szCs w:val="18"/>
        </w:rPr>
        <w:t xml:space="preserve">, G.; </w:t>
      </w:r>
      <w:proofErr w:type="spellStart"/>
      <w:r w:rsidRPr="00B24A61">
        <w:rPr>
          <w:sz w:val="18"/>
          <w:szCs w:val="18"/>
        </w:rPr>
        <w:t>Bisogno</w:t>
      </w:r>
      <w:proofErr w:type="spellEnd"/>
      <w:r w:rsidRPr="00B24A61">
        <w:rPr>
          <w:sz w:val="18"/>
          <w:szCs w:val="18"/>
        </w:rPr>
        <w:t>, F.R.</w:t>
      </w:r>
      <w:r>
        <w:rPr>
          <w:sz w:val="18"/>
          <w:szCs w:val="18"/>
        </w:rPr>
        <w:t xml:space="preserve"> </w:t>
      </w:r>
      <w:r w:rsidRPr="00B24A61">
        <w:rPr>
          <w:i/>
          <w:iCs/>
          <w:sz w:val="18"/>
          <w:szCs w:val="18"/>
        </w:rPr>
        <w:t xml:space="preserve">Chem </w:t>
      </w:r>
      <w:proofErr w:type="spellStart"/>
      <w:r w:rsidRPr="00B24A61">
        <w:rPr>
          <w:i/>
          <w:iCs/>
          <w:sz w:val="18"/>
          <w:szCs w:val="18"/>
        </w:rPr>
        <w:t>Catal</w:t>
      </w:r>
      <w:proofErr w:type="spellEnd"/>
      <w:r w:rsidRPr="00B24A61">
        <w:rPr>
          <w:i/>
          <w:iCs/>
          <w:sz w:val="18"/>
          <w:szCs w:val="18"/>
        </w:rPr>
        <w:t xml:space="preserve">. </w:t>
      </w:r>
      <w:r w:rsidRPr="00B24A61">
        <w:rPr>
          <w:b/>
          <w:bCs/>
          <w:sz w:val="18"/>
          <w:szCs w:val="18"/>
        </w:rPr>
        <w:t>2023</w:t>
      </w:r>
      <w:r w:rsidRPr="00B24A61">
        <w:rPr>
          <w:sz w:val="18"/>
          <w:szCs w:val="18"/>
        </w:rPr>
        <w:t xml:space="preserve">, </w:t>
      </w:r>
      <w:r w:rsidRPr="00B24A61">
        <w:rPr>
          <w:i/>
          <w:iCs/>
          <w:sz w:val="18"/>
          <w:szCs w:val="18"/>
        </w:rPr>
        <w:t>3</w:t>
      </w:r>
      <w:r w:rsidRPr="00B24A61">
        <w:rPr>
          <w:sz w:val="18"/>
          <w:szCs w:val="18"/>
        </w:rPr>
        <w:t>, 10048</w:t>
      </w:r>
      <w:r>
        <w:rPr>
          <w:sz w:val="18"/>
          <w:szCs w:val="18"/>
        </w:rPr>
        <w:t>8</w:t>
      </w:r>
      <w:r w:rsidRPr="00AB539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6D7F2A3" w14:paraId="7912F992" w14:textId="77777777" w:rsidTr="36D7F2A3">
      <w:trPr>
        <w:trHeight w:val="300"/>
      </w:trPr>
      <w:tc>
        <w:tcPr>
          <w:tcW w:w="3005" w:type="dxa"/>
        </w:tcPr>
        <w:p w14:paraId="4B78FC34" w14:textId="5D7F21DE" w:rsidR="36D7F2A3" w:rsidRDefault="36D7F2A3" w:rsidP="36D7F2A3">
          <w:pPr>
            <w:pStyle w:val="Header"/>
            <w:ind w:left="-115"/>
          </w:pPr>
        </w:p>
      </w:tc>
      <w:tc>
        <w:tcPr>
          <w:tcW w:w="3005" w:type="dxa"/>
        </w:tcPr>
        <w:p w14:paraId="4C6B5FB0" w14:textId="23FE284D" w:rsidR="36D7F2A3" w:rsidRDefault="36D7F2A3" w:rsidP="36D7F2A3">
          <w:pPr>
            <w:pStyle w:val="Header"/>
            <w:jc w:val="center"/>
          </w:pPr>
        </w:p>
      </w:tc>
      <w:tc>
        <w:tcPr>
          <w:tcW w:w="3005" w:type="dxa"/>
        </w:tcPr>
        <w:p w14:paraId="7073CC81" w14:textId="4B3BAF50" w:rsidR="36D7F2A3" w:rsidRDefault="36D7F2A3" w:rsidP="36D7F2A3">
          <w:pPr>
            <w:pStyle w:val="Header"/>
            <w:ind w:right="-115"/>
            <w:jc w:val="right"/>
          </w:pPr>
        </w:p>
      </w:tc>
    </w:tr>
  </w:tbl>
  <w:p w14:paraId="7224BF94" w14:textId="5EA364BF" w:rsidR="36D7F2A3" w:rsidRDefault="36D7F2A3" w:rsidP="36D7F2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B50AB4"/>
    <w:rsid w:val="00045ECF"/>
    <w:rsid w:val="00050014"/>
    <w:rsid w:val="000932F4"/>
    <w:rsid w:val="000C769C"/>
    <w:rsid w:val="00107976"/>
    <w:rsid w:val="00115A08"/>
    <w:rsid w:val="001B16D6"/>
    <w:rsid w:val="001C5EC6"/>
    <w:rsid w:val="002048B2"/>
    <w:rsid w:val="00233717"/>
    <w:rsid w:val="002469E4"/>
    <w:rsid w:val="00287FC5"/>
    <w:rsid w:val="003520D7"/>
    <w:rsid w:val="003F29E9"/>
    <w:rsid w:val="0042310D"/>
    <w:rsid w:val="005511AA"/>
    <w:rsid w:val="00596A7B"/>
    <w:rsid w:val="005C3F68"/>
    <w:rsid w:val="005D0CAC"/>
    <w:rsid w:val="00671B47"/>
    <w:rsid w:val="006941E0"/>
    <w:rsid w:val="0070727B"/>
    <w:rsid w:val="0071527F"/>
    <w:rsid w:val="0078263E"/>
    <w:rsid w:val="0078554D"/>
    <w:rsid w:val="00787564"/>
    <w:rsid w:val="007D5DB7"/>
    <w:rsid w:val="00850C7D"/>
    <w:rsid w:val="008763D9"/>
    <w:rsid w:val="008821B7"/>
    <w:rsid w:val="008C57BE"/>
    <w:rsid w:val="008E6B56"/>
    <w:rsid w:val="00962CB3"/>
    <w:rsid w:val="009B7EB7"/>
    <w:rsid w:val="009E5980"/>
    <w:rsid w:val="00A52441"/>
    <w:rsid w:val="00A565B1"/>
    <w:rsid w:val="00AA0E28"/>
    <w:rsid w:val="00AA3006"/>
    <w:rsid w:val="00B03F03"/>
    <w:rsid w:val="00B12BE1"/>
    <w:rsid w:val="00BC33FC"/>
    <w:rsid w:val="00C12963"/>
    <w:rsid w:val="00C14576"/>
    <w:rsid w:val="00C55E06"/>
    <w:rsid w:val="00CB4482"/>
    <w:rsid w:val="00D070BA"/>
    <w:rsid w:val="00D81F83"/>
    <w:rsid w:val="00DC30D2"/>
    <w:rsid w:val="00DC3EF0"/>
    <w:rsid w:val="00DE68FE"/>
    <w:rsid w:val="00E97851"/>
    <w:rsid w:val="00EA0387"/>
    <w:rsid w:val="00EC07E2"/>
    <w:rsid w:val="00EC7D88"/>
    <w:rsid w:val="00ED5ADE"/>
    <w:rsid w:val="00F14C4F"/>
    <w:rsid w:val="00F2256D"/>
    <w:rsid w:val="00F60F56"/>
    <w:rsid w:val="00F82D14"/>
    <w:rsid w:val="00F941CD"/>
    <w:rsid w:val="00FD3EA2"/>
    <w:rsid w:val="00FD63A8"/>
    <w:rsid w:val="00FF6666"/>
    <w:rsid w:val="01A25741"/>
    <w:rsid w:val="01B75447"/>
    <w:rsid w:val="08F72868"/>
    <w:rsid w:val="0C06442D"/>
    <w:rsid w:val="0CDB44E1"/>
    <w:rsid w:val="0E771542"/>
    <w:rsid w:val="100595DF"/>
    <w:rsid w:val="1341B086"/>
    <w:rsid w:val="189FE2A6"/>
    <w:rsid w:val="1A9A56ED"/>
    <w:rsid w:val="1B4EA50D"/>
    <w:rsid w:val="1B6F0A67"/>
    <w:rsid w:val="1E56EAB6"/>
    <w:rsid w:val="1F392A00"/>
    <w:rsid w:val="2022DEBB"/>
    <w:rsid w:val="26209D6F"/>
    <w:rsid w:val="27380605"/>
    <w:rsid w:val="27A64347"/>
    <w:rsid w:val="290EB5E8"/>
    <w:rsid w:val="2A6BB395"/>
    <w:rsid w:val="2B2A300D"/>
    <w:rsid w:val="2BC96DB5"/>
    <w:rsid w:val="2BD45FB1"/>
    <w:rsid w:val="2F4B33F2"/>
    <w:rsid w:val="3244FE33"/>
    <w:rsid w:val="35119498"/>
    <w:rsid w:val="354EE9AC"/>
    <w:rsid w:val="36D7F2A3"/>
    <w:rsid w:val="37B50AB4"/>
    <w:rsid w:val="394FC66D"/>
    <w:rsid w:val="3A1A5A18"/>
    <w:rsid w:val="3A471C9B"/>
    <w:rsid w:val="3E4172EC"/>
    <w:rsid w:val="3E7C4A58"/>
    <w:rsid w:val="405DD773"/>
    <w:rsid w:val="45FF35A3"/>
    <w:rsid w:val="482E1744"/>
    <w:rsid w:val="4853D0AE"/>
    <w:rsid w:val="4A3B47C8"/>
    <w:rsid w:val="4B2B6BDF"/>
    <w:rsid w:val="52138BF6"/>
    <w:rsid w:val="56673AB1"/>
    <w:rsid w:val="573EE2F7"/>
    <w:rsid w:val="5B252FD7"/>
    <w:rsid w:val="5F31E42D"/>
    <w:rsid w:val="5F459A80"/>
    <w:rsid w:val="5FFADD78"/>
    <w:rsid w:val="6191B0CE"/>
    <w:rsid w:val="63C1634B"/>
    <w:rsid w:val="6705C442"/>
    <w:rsid w:val="6DEDC27A"/>
    <w:rsid w:val="72283768"/>
    <w:rsid w:val="75906359"/>
    <w:rsid w:val="77BC7612"/>
    <w:rsid w:val="7C48F24B"/>
    <w:rsid w:val="7D03E062"/>
    <w:rsid w:val="7D29194D"/>
    <w:rsid w:val="7FD7A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50AB4"/>
  <w15:chartTrackingRefBased/>
  <w15:docId w15:val="{5828588A-C424-4593-8352-3AFE0AEF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932F4"/>
    <w:rPr>
      <w:color w:val="605E5C"/>
      <w:shd w:val="clear" w:color="auto" w:fill="E1DFDD"/>
    </w:rPr>
  </w:style>
  <w:style w:type="character" w:styleId="FollowedHyperlink">
    <w:name w:val="FollowedHyperlink"/>
    <w:basedOn w:val="DefaultParagraphFont"/>
    <w:uiPriority w:val="99"/>
    <w:semiHidden/>
    <w:unhideWhenUsed/>
    <w:rsid w:val="000C769C"/>
    <w:rPr>
      <w:color w:val="954F72" w:themeColor="followedHyperlink"/>
      <w:u w:val="single"/>
    </w:rPr>
  </w:style>
  <w:style w:type="character" w:customStyle="1" w:styleId="ui-provider">
    <w:name w:val="ui-provider"/>
    <w:basedOn w:val="DefaultParagraphFont"/>
    <w:rsid w:val="00F2256D"/>
  </w:style>
  <w:style w:type="paragraph" w:styleId="FootnoteText">
    <w:name w:val="footnote text"/>
    <w:basedOn w:val="Normal"/>
    <w:link w:val="FootnoteTextChar"/>
    <w:uiPriority w:val="99"/>
    <w:unhideWhenUsed/>
    <w:rsid w:val="00ED5ADE"/>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ED5ADE"/>
    <w:rPr>
      <w:sz w:val="20"/>
      <w:szCs w:val="20"/>
      <w:lang w:val="en-US"/>
    </w:rPr>
  </w:style>
  <w:style w:type="character" w:styleId="FootnoteReference">
    <w:name w:val="footnote reference"/>
    <w:basedOn w:val="DefaultParagraphFont"/>
    <w:uiPriority w:val="99"/>
    <w:unhideWhenUsed/>
    <w:rsid w:val="00ED5ADE"/>
    <w:rPr>
      <w:vertAlign w:val="superscript"/>
    </w:rPr>
  </w:style>
  <w:style w:type="paragraph" w:customStyle="1" w:styleId="TFReferencesSection">
    <w:name w:val="TF_References_Section"/>
    <w:basedOn w:val="Normal"/>
    <w:next w:val="Normal"/>
    <w:autoRedefine/>
    <w:rsid w:val="00ED5ADE"/>
    <w:pPr>
      <w:spacing w:after="0" w:line="240" w:lineRule="auto"/>
      <w:ind w:firstLine="187"/>
    </w:pPr>
    <w:rPr>
      <w:rFonts w:ascii="Arno Pro" w:eastAsia="Times New Roman" w:hAnsi="Arno Pro" w:cs="Times New Roman"/>
      <w:kern w:val="19"/>
      <w:sz w:val="17"/>
      <w:szCs w:val="1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070BA"/>
    <w:pPr>
      <w:spacing w:before="100" w:beforeAutospacing="1" w:after="100" w:afterAutospacing="1" w:line="240" w:lineRule="auto"/>
    </w:pPr>
    <w:rPr>
      <w:rFonts w:ascii="Aptos" w:hAnsi="Aptos" w:cs="Aptos"/>
      <w:sz w:val="24"/>
      <w:szCs w:val="24"/>
      <w:lang w:val="en-US"/>
    </w:rPr>
  </w:style>
  <w:style w:type="character" w:customStyle="1" w:styleId="normaltextrun">
    <w:name w:val="normaltextrun"/>
    <w:basedOn w:val="DefaultParagraphFont"/>
    <w:rsid w:val="00D0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47258">
      <w:bodyDiv w:val="1"/>
      <w:marLeft w:val="0"/>
      <w:marRight w:val="0"/>
      <w:marTop w:val="0"/>
      <w:marBottom w:val="0"/>
      <w:divBdr>
        <w:top w:val="none" w:sz="0" w:space="0" w:color="auto"/>
        <w:left w:val="none" w:sz="0" w:space="0" w:color="auto"/>
        <w:bottom w:val="none" w:sz="0" w:space="0" w:color="auto"/>
        <w:right w:val="none" w:sz="0" w:space="0" w:color="auto"/>
      </w:divBdr>
    </w:div>
    <w:div w:id="332220050">
      <w:bodyDiv w:val="1"/>
      <w:marLeft w:val="0"/>
      <w:marRight w:val="0"/>
      <w:marTop w:val="0"/>
      <w:marBottom w:val="0"/>
      <w:divBdr>
        <w:top w:val="none" w:sz="0" w:space="0" w:color="auto"/>
        <w:left w:val="none" w:sz="0" w:space="0" w:color="auto"/>
        <w:bottom w:val="none" w:sz="0" w:space="0" w:color="auto"/>
        <w:right w:val="none" w:sz="0" w:space="0" w:color="auto"/>
      </w:divBdr>
    </w:div>
    <w:div w:id="535393925">
      <w:bodyDiv w:val="1"/>
      <w:marLeft w:val="0"/>
      <w:marRight w:val="0"/>
      <w:marTop w:val="0"/>
      <w:marBottom w:val="0"/>
      <w:divBdr>
        <w:top w:val="none" w:sz="0" w:space="0" w:color="auto"/>
        <w:left w:val="none" w:sz="0" w:space="0" w:color="auto"/>
        <w:bottom w:val="none" w:sz="0" w:space="0" w:color="auto"/>
        <w:right w:val="none" w:sz="0" w:space="0" w:color="auto"/>
      </w:divBdr>
    </w:div>
    <w:div w:id="579365914">
      <w:bodyDiv w:val="1"/>
      <w:marLeft w:val="0"/>
      <w:marRight w:val="0"/>
      <w:marTop w:val="0"/>
      <w:marBottom w:val="0"/>
      <w:divBdr>
        <w:top w:val="none" w:sz="0" w:space="0" w:color="auto"/>
        <w:left w:val="none" w:sz="0" w:space="0" w:color="auto"/>
        <w:bottom w:val="none" w:sz="0" w:space="0" w:color="auto"/>
        <w:right w:val="none" w:sz="0" w:space="0" w:color="auto"/>
      </w:divBdr>
    </w:div>
    <w:div w:id="785538966">
      <w:bodyDiv w:val="1"/>
      <w:marLeft w:val="0"/>
      <w:marRight w:val="0"/>
      <w:marTop w:val="0"/>
      <w:marBottom w:val="0"/>
      <w:divBdr>
        <w:top w:val="none" w:sz="0" w:space="0" w:color="auto"/>
        <w:left w:val="none" w:sz="0" w:space="0" w:color="auto"/>
        <w:bottom w:val="none" w:sz="0" w:space="0" w:color="auto"/>
        <w:right w:val="none" w:sz="0" w:space="0" w:color="auto"/>
      </w:divBdr>
    </w:div>
    <w:div w:id="976570422">
      <w:bodyDiv w:val="1"/>
      <w:marLeft w:val="0"/>
      <w:marRight w:val="0"/>
      <w:marTop w:val="0"/>
      <w:marBottom w:val="0"/>
      <w:divBdr>
        <w:top w:val="none" w:sz="0" w:space="0" w:color="auto"/>
        <w:left w:val="none" w:sz="0" w:space="0" w:color="auto"/>
        <w:bottom w:val="none" w:sz="0" w:space="0" w:color="auto"/>
        <w:right w:val="none" w:sz="0" w:space="0" w:color="auto"/>
      </w:divBdr>
    </w:div>
    <w:div w:id="1065447742">
      <w:bodyDiv w:val="1"/>
      <w:marLeft w:val="0"/>
      <w:marRight w:val="0"/>
      <w:marTop w:val="0"/>
      <w:marBottom w:val="0"/>
      <w:divBdr>
        <w:top w:val="none" w:sz="0" w:space="0" w:color="auto"/>
        <w:left w:val="none" w:sz="0" w:space="0" w:color="auto"/>
        <w:bottom w:val="none" w:sz="0" w:space="0" w:color="auto"/>
        <w:right w:val="none" w:sz="0" w:space="0" w:color="auto"/>
      </w:divBdr>
      <w:divsChild>
        <w:div w:id="1892032539">
          <w:marLeft w:val="0"/>
          <w:marRight w:val="0"/>
          <w:marTop w:val="0"/>
          <w:marBottom w:val="0"/>
          <w:divBdr>
            <w:top w:val="none" w:sz="0" w:space="0" w:color="auto"/>
            <w:left w:val="none" w:sz="0" w:space="0" w:color="auto"/>
            <w:bottom w:val="none" w:sz="0" w:space="0" w:color="auto"/>
            <w:right w:val="none" w:sz="0" w:space="0" w:color="auto"/>
          </w:divBdr>
        </w:div>
      </w:divsChild>
    </w:div>
    <w:div w:id="1221474356">
      <w:bodyDiv w:val="1"/>
      <w:marLeft w:val="0"/>
      <w:marRight w:val="0"/>
      <w:marTop w:val="0"/>
      <w:marBottom w:val="0"/>
      <w:divBdr>
        <w:top w:val="none" w:sz="0" w:space="0" w:color="auto"/>
        <w:left w:val="none" w:sz="0" w:space="0" w:color="auto"/>
        <w:bottom w:val="none" w:sz="0" w:space="0" w:color="auto"/>
        <w:right w:val="none" w:sz="0" w:space="0" w:color="auto"/>
      </w:divBdr>
    </w:div>
    <w:div w:id="1417940400">
      <w:bodyDiv w:val="1"/>
      <w:marLeft w:val="0"/>
      <w:marRight w:val="0"/>
      <w:marTop w:val="0"/>
      <w:marBottom w:val="0"/>
      <w:divBdr>
        <w:top w:val="none" w:sz="0" w:space="0" w:color="auto"/>
        <w:left w:val="none" w:sz="0" w:space="0" w:color="auto"/>
        <w:bottom w:val="none" w:sz="0" w:space="0" w:color="auto"/>
        <w:right w:val="none" w:sz="0" w:space="0" w:color="auto"/>
      </w:divBdr>
      <w:divsChild>
        <w:div w:id="61946259">
          <w:marLeft w:val="0"/>
          <w:marRight w:val="0"/>
          <w:marTop w:val="0"/>
          <w:marBottom w:val="0"/>
          <w:divBdr>
            <w:top w:val="none" w:sz="0" w:space="0" w:color="auto"/>
            <w:left w:val="none" w:sz="0" w:space="0" w:color="auto"/>
            <w:bottom w:val="none" w:sz="0" w:space="0" w:color="auto"/>
            <w:right w:val="none" w:sz="0" w:space="0" w:color="auto"/>
          </w:divBdr>
        </w:div>
      </w:divsChild>
    </w:div>
    <w:div w:id="1436024884">
      <w:bodyDiv w:val="1"/>
      <w:marLeft w:val="0"/>
      <w:marRight w:val="0"/>
      <w:marTop w:val="0"/>
      <w:marBottom w:val="0"/>
      <w:divBdr>
        <w:top w:val="none" w:sz="0" w:space="0" w:color="auto"/>
        <w:left w:val="none" w:sz="0" w:space="0" w:color="auto"/>
        <w:bottom w:val="none" w:sz="0" w:space="0" w:color="auto"/>
        <w:right w:val="none" w:sz="0" w:space="0" w:color="auto"/>
      </w:divBdr>
    </w:div>
    <w:div w:id="1457944568">
      <w:bodyDiv w:val="1"/>
      <w:marLeft w:val="0"/>
      <w:marRight w:val="0"/>
      <w:marTop w:val="0"/>
      <w:marBottom w:val="0"/>
      <w:divBdr>
        <w:top w:val="none" w:sz="0" w:space="0" w:color="auto"/>
        <w:left w:val="none" w:sz="0" w:space="0" w:color="auto"/>
        <w:bottom w:val="none" w:sz="0" w:space="0" w:color="auto"/>
        <w:right w:val="none" w:sz="0" w:space="0" w:color="auto"/>
      </w:divBdr>
    </w:div>
    <w:div w:id="1531798554">
      <w:bodyDiv w:val="1"/>
      <w:marLeft w:val="0"/>
      <w:marRight w:val="0"/>
      <w:marTop w:val="0"/>
      <w:marBottom w:val="0"/>
      <w:divBdr>
        <w:top w:val="none" w:sz="0" w:space="0" w:color="auto"/>
        <w:left w:val="none" w:sz="0" w:space="0" w:color="auto"/>
        <w:bottom w:val="none" w:sz="0" w:space="0" w:color="auto"/>
        <w:right w:val="none" w:sz="0" w:space="0" w:color="auto"/>
      </w:divBdr>
    </w:div>
    <w:div w:id="21324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us06web.zoom.us/webinar/register/WN_Vh44ogJfTruqHqc1iaxns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9502B832ECD489AD51FFFEF574576" ma:contentTypeVersion="16" ma:contentTypeDescription="Create a new document." ma:contentTypeScope="" ma:versionID="9ce2270fe7c845a1e1ce9a6658b5dda0">
  <xsd:schema xmlns:xsd="http://www.w3.org/2001/XMLSchema" xmlns:xs="http://www.w3.org/2001/XMLSchema" xmlns:p="http://schemas.microsoft.com/office/2006/metadata/properties" xmlns:ns1="http://schemas.microsoft.com/sharepoint/v3" xmlns:ns2="18a006eb-f252-4567-ae08-9ee38a7159f7" xmlns:ns3="e47812bf-c8f0-415c-9dc6-756594725798" targetNamespace="http://schemas.microsoft.com/office/2006/metadata/properties" ma:root="true" ma:fieldsID="a475bc76d2ac1b20a738c84019b04985" ns1:_="" ns2:_="" ns3:_="">
    <xsd:import namespace="http://schemas.microsoft.com/sharepoint/v3"/>
    <xsd:import namespace="18a006eb-f252-4567-ae08-9ee38a7159f7"/>
    <xsd:import namespace="e47812bf-c8f0-415c-9dc6-7565947257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06eb-f252-4567-ae08-9ee38a715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37a246-70c2-41b3-a315-338d125476c6}" ma:internalName="TaxCatchAll" ma:showField="CatchAllData" ma:web="3eee73f0-8ee1-487a-9aba-09a6daf84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a006eb-f252-4567-ae08-9ee38a7159f7">
      <Terms xmlns="http://schemas.microsoft.com/office/infopath/2007/PartnerControls"/>
    </lcf76f155ced4ddcb4097134ff3c332f>
    <TaxCatchAll xmlns="e47812bf-c8f0-415c-9dc6-75659472579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4072A9D-BCBC-4756-AFCA-C566A085FF6E}">
  <ds:schemaRefs>
    <ds:schemaRef ds:uri="http://schemas.microsoft.com/sharepoint/v3/contenttype/forms"/>
  </ds:schemaRefs>
</ds:datastoreItem>
</file>

<file path=customXml/itemProps2.xml><?xml version="1.0" encoding="utf-8"?>
<ds:datastoreItem xmlns:ds="http://schemas.openxmlformats.org/officeDocument/2006/customXml" ds:itemID="{BCA9DED5-B5BD-46D1-BBBF-DC5E95DAD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a006eb-f252-4567-ae08-9ee38a7159f7"/>
    <ds:schemaRef ds:uri="e47812bf-c8f0-415c-9dc6-75659472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9B862-E431-4142-A1F3-0ADEDF8B1982}">
  <ds:schemaRefs>
    <ds:schemaRef ds:uri="http://schemas.microsoft.com/office/2006/metadata/properties"/>
    <ds:schemaRef ds:uri="http://schemas.microsoft.com/office/infopath/2007/PartnerControls"/>
    <ds:schemaRef ds:uri="18a006eb-f252-4567-ae08-9ee38a7159f7"/>
    <ds:schemaRef ds:uri="e47812bf-c8f0-415c-9dc6-75659472579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1341</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Klingler, Franca</dc:creator>
  <cp:keywords/>
  <dc:description/>
  <cp:lastModifiedBy>Andrea Unzue Lopez</cp:lastModifiedBy>
  <cp:revision>54</cp:revision>
  <dcterms:created xsi:type="dcterms:W3CDTF">2022-10-26T08:29:00Z</dcterms:created>
  <dcterms:modified xsi:type="dcterms:W3CDTF">2025-02-04T12:23:00Z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0x0101002F99502B832ECD489AD51FFFEF574576</vt:lpwstr>
  </property>
  <property fmtid="{D5CDD505-2E9C-101B-9397-08002B2CF9AE}" pid="3" name="MediaServiceImageTags">
    <vt:lpwstr/>
  </property>
  <property fmtid="{D5CDD505-2E9C-101B-9397-08002B2CF9AE}" pid="4" name="MSIP_Label_e81acc0d-dcc4-4dc9-a2c5-be70b05a2fe6_Enabled">
    <vt:lpwstr>true</vt:lpwstr>
  </property>
  <property fmtid="{D5CDD505-2E9C-101B-9397-08002B2CF9AE}" pid="5" name="MSIP_Label_e81acc0d-dcc4-4dc9-a2c5-be70b05a2fe6_SetDate">
    <vt:lpwstr>2022-08-16T10:41:08Z</vt:lpwstr>
  </property>
  <property fmtid="{D5CDD505-2E9C-101B-9397-08002B2CF9AE}" pid="6" name="MSIP_Label_e81acc0d-dcc4-4dc9-a2c5-be70b05a2fe6_Method">
    <vt:lpwstr>Privileged</vt:lpwstr>
  </property>
  <property fmtid="{D5CDD505-2E9C-101B-9397-08002B2CF9AE}" pid="7" name="MSIP_Label_e81acc0d-dcc4-4dc9-a2c5-be70b05a2fe6_Name">
    <vt:lpwstr>e81acc0d-dcc4-4dc9-a2c5-be70b05a2fe6</vt:lpwstr>
  </property>
  <property fmtid="{D5CDD505-2E9C-101B-9397-08002B2CF9AE}" pid="8" name="MSIP_Label_e81acc0d-dcc4-4dc9-a2c5-be70b05a2fe6_SiteId">
    <vt:lpwstr>a00de4ec-48a8-43a6-be74-e31274e2060d</vt:lpwstr>
  </property>
  <property fmtid="{D5CDD505-2E9C-101B-9397-08002B2CF9AE}" pid="9" name="MSIP_Label_e81acc0d-dcc4-4dc9-a2c5-be70b05a2fe6_ActionId">
    <vt:lpwstr>caa444cc-3b8b-46e5-b03a-47f893b85223</vt:lpwstr>
  </property>
  <property fmtid="{D5CDD505-2E9C-101B-9397-08002B2CF9AE}" pid="10" name="MSIP_Label_e81acc0d-dcc4-4dc9-a2c5-be70b05a2fe6_ContentBits">
    <vt:lpwstr>0</vt:lpwstr>
  </property>
  <property fmtid="{D5CDD505-2E9C-101B-9397-08002B2CF9AE}" pid="11" name="MerckAIPLabel">
    <vt:lpwstr>NotClassified</vt:lpwstr>
  </property>
  <property fmtid="{D5CDD505-2E9C-101B-9397-08002B2CF9AE}" pid="12" name="MerckAIPDataExchange">
    <vt:lpwstr>!MRKMIP@NotClassified</vt:lpwstr>
  </property>
</Properties>
</file>