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02F5D" w14:textId="45656A39" w:rsidR="00B57907" w:rsidRPr="004A1B4D" w:rsidRDefault="0041553E">
      <w:pPr>
        <w:pStyle w:val="Titelzeile"/>
        <w:rPr>
          <w:rFonts w:ascii="Arial" w:hAnsi="Arial"/>
          <w:lang w:val="en-US"/>
        </w:rPr>
      </w:pPr>
      <w:r w:rsidRPr="0041553E">
        <w:rPr>
          <w:rFonts w:ascii="Arial" w:hAnsi="Arial"/>
          <w:lang w:val="en-US"/>
        </w:rPr>
        <w:t xml:space="preserve">Complex </w:t>
      </w:r>
      <w:proofErr w:type="spellStart"/>
      <w:r w:rsidRPr="0041553E">
        <w:rPr>
          <w:rFonts w:ascii="Arial" w:hAnsi="Arial"/>
          <w:lang w:val="en-US"/>
        </w:rPr>
        <w:t>taxane</w:t>
      </w:r>
      <w:proofErr w:type="spellEnd"/>
      <w:r w:rsidRPr="0041553E">
        <w:rPr>
          <w:rFonts w:ascii="Arial" w:hAnsi="Arial"/>
          <w:lang w:val="en-US"/>
        </w:rPr>
        <w:t xml:space="preserve"> synthesis </w:t>
      </w:r>
      <w:r>
        <w:rPr>
          <w:rFonts w:ascii="Arial" w:hAnsi="Arial"/>
          <w:lang w:val="en-US"/>
        </w:rPr>
        <w:t>–</w:t>
      </w:r>
      <w:r w:rsidRPr="0041553E">
        <w:rPr>
          <w:rFonts w:ascii="Arial" w:hAnsi="Arial"/>
          <w:lang w:val="en-US"/>
        </w:rPr>
        <w:t xml:space="preserve"> the devil is in the details</w:t>
      </w:r>
    </w:p>
    <w:p w14:paraId="1B65E492" w14:textId="7431BA79" w:rsidR="00B57907" w:rsidRPr="00DB21F4" w:rsidRDefault="00DB21F4">
      <w:pPr>
        <w:pStyle w:val="Autoren"/>
        <w:rPr>
          <w:rFonts w:ascii="Arial" w:hAnsi="Arial" w:cs="Arial"/>
          <w:lang w:val="en-US"/>
        </w:rPr>
      </w:pPr>
      <w:r w:rsidRPr="00DB21F4">
        <w:rPr>
          <w:rFonts w:ascii="Arial" w:hAnsi="Arial" w:cs="Arial"/>
          <w:lang w:val="en-US"/>
        </w:rPr>
        <w:t xml:space="preserve">Fabian Schneider, Lu Pan, Moritz </w:t>
      </w:r>
      <w:proofErr w:type="spellStart"/>
      <w:r w:rsidRPr="00DB21F4">
        <w:rPr>
          <w:rFonts w:ascii="Arial" w:hAnsi="Arial" w:cs="Arial"/>
          <w:lang w:val="en-US"/>
        </w:rPr>
        <w:t>Ottenbruch</w:t>
      </w:r>
      <w:proofErr w:type="spellEnd"/>
      <w:r w:rsidRPr="00DB21F4">
        <w:rPr>
          <w:rFonts w:ascii="Arial" w:hAnsi="Arial" w:cs="Arial"/>
          <w:lang w:val="en-US"/>
        </w:rPr>
        <w:t xml:space="preserve">, Bastian </w:t>
      </w:r>
      <w:proofErr w:type="spellStart"/>
      <w:r w:rsidRPr="00DB21F4">
        <w:rPr>
          <w:rFonts w:ascii="Arial" w:hAnsi="Arial" w:cs="Arial"/>
          <w:lang w:val="en-US"/>
        </w:rPr>
        <w:t>Mertes</w:t>
      </w:r>
      <w:proofErr w:type="spellEnd"/>
      <w:r w:rsidRPr="00DB21F4">
        <w:rPr>
          <w:rFonts w:ascii="Arial" w:hAnsi="Arial" w:cs="Arial"/>
          <w:lang w:val="en-US"/>
        </w:rPr>
        <w:t xml:space="preserve">, Tatjana List, Rainer </w:t>
      </w:r>
      <w:proofErr w:type="spellStart"/>
      <w:r w:rsidRPr="00DB21F4">
        <w:rPr>
          <w:rFonts w:ascii="Arial" w:hAnsi="Arial" w:cs="Arial"/>
          <w:lang w:val="en-US"/>
        </w:rPr>
        <w:t>Wiechert</w:t>
      </w:r>
      <w:proofErr w:type="spellEnd"/>
      <w:r w:rsidRPr="00DB21F4">
        <w:rPr>
          <w:rFonts w:ascii="Arial" w:hAnsi="Arial" w:cs="Arial"/>
          <w:lang w:val="en-US"/>
        </w:rPr>
        <w:t xml:space="preserve">, </w:t>
      </w:r>
      <w:r w:rsidRPr="00DB21F4">
        <w:rPr>
          <w:rFonts w:ascii="Arial" w:hAnsi="Arial" w:cs="Arial"/>
          <w:u w:val="single"/>
          <w:lang w:val="en-US"/>
        </w:rPr>
        <w:t xml:space="preserve">Tanja </w:t>
      </w:r>
      <w:proofErr w:type="spellStart"/>
      <w:r w:rsidRPr="00DB21F4">
        <w:rPr>
          <w:rFonts w:ascii="Arial" w:hAnsi="Arial" w:cs="Arial"/>
          <w:u w:val="single"/>
          <w:lang w:val="en-US"/>
        </w:rPr>
        <w:t>Gaich</w:t>
      </w:r>
      <w:proofErr w:type="spellEnd"/>
      <w:r w:rsidRPr="00DB21F4">
        <w:rPr>
          <w:rFonts w:ascii="Arial" w:hAnsi="Arial" w:cs="Arial"/>
          <w:lang w:val="en-US"/>
        </w:rPr>
        <w:t xml:space="preserve"> </w:t>
      </w:r>
      <w:r w:rsidR="00132078" w:rsidRPr="00DB21F4">
        <w:rPr>
          <w:rFonts w:ascii="Arial" w:hAnsi="Arial" w:cs="Arial"/>
          <w:lang w:val="en-US"/>
        </w:rPr>
        <w:br/>
      </w:r>
      <w:r w:rsidRPr="00DB21F4">
        <w:rPr>
          <w:rFonts w:ascii="Arial" w:hAnsi="Arial" w:cs="Arial"/>
          <w:lang w:val="en-US"/>
        </w:rPr>
        <w:t>University of Konstanz, Department of Chemi</w:t>
      </w:r>
      <w:r>
        <w:rPr>
          <w:rFonts w:ascii="Arial" w:hAnsi="Arial" w:cs="Arial"/>
          <w:lang w:val="en-US"/>
        </w:rPr>
        <w:t xml:space="preserve">stry, </w:t>
      </w:r>
      <w:proofErr w:type="spellStart"/>
      <w:r>
        <w:rPr>
          <w:rFonts w:ascii="Arial" w:hAnsi="Arial" w:cs="Arial"/>
          <w:lang w:val="en-US"/>
        </w:rPr>
        <w:t>Universitätsstrasse</w:t>
      </w:r>
      <w:proofErr w:type="spellEnd"/>
      <w:r>
        <w:rPr>
          <w:rFonts w:ascii="Arial" w:hAnsi="Arial" w:cs="Arial"/>
          <w:lang w:val="en-US"/>
        </w:rPr>
        <w:t xml:space="preserve"> 10, 78464 Konstanz, Germany.</w:t>
      </w:r>
    </w:p>
    <w:p w14:paraId="2EFE6A17" w14:textId="0F94C646" w:rsidR="00B57907" w:rsidRPr="00A74935" w:rsidRDefault="00DB21F4" w:rsidP="00A74935">
      <w:pPr>
        <w:pStyle w:val="Haupttext"/>
        <w:spacing w:line="276" w:lineRule="auto"/>
        <w:rPr>
          <w:rFonts w:ascii="Arial" w:hAnsi="Arial" w:cs="Arial"/>
          <w:sz w:val="21"/>
          <w:szCs w:val="21"/>
          <w:lang w:val="en-DE"/>
        </w:rPr>
      </w:pPr>
      <w:r w:rsidRPr="00A74935">
        <w:rPr>
          <w:rFonts w:ascii="Arial" w:hAnsi="Arial" w:cs="Arial"/>
          <w:sz w:val="21"/>
          <w:szCs w:val="21"/>
          <w:lang w:val="en-DE"/>
        </w:rPr>
        <w:t xml:space="preserve">Cyclotaxanes are a sub-class of the very well-known taxane diterpene family. They possess an even more complex and intricate molecular backbone than their siblings — the classical taxanes — with additional transannular C-C-bonds across the classical taxane scaffold. For this reason, they have largely eluded their total synthesis over the last three decades. Nevertheless, their chemistry and biology is very rich, starting with their biosynthesis, which they share with the classical taxanes, as well as their biological properties for which this applies in parts as well. However, due to lack of isolated material many congeners of the cyclotaxane sub-class have not been thoroughly tested, and still remain to be biologically evaluated. </w:t>
      </w:r>
      <w:r w:rsidR="0041553E">
        <w:rPr>
          <w:rFonts w:ascii="Arial" w:hAnsi="Arial" w:cs="Arial"/>
          <w:sz w:val="21"/>
          <w:szCs w:val="21"/>
          <w:lang w:val="en-DE"/>
        </w:rPr>
        <w:t xml:space="preserve">We herewith present a fragmentation based unified approach to 5 taxane diterpene scaffolds including the total syntheses of 6 congeners with different molecular backbones. </w:t>
      </w:r>
    </w:p>
    <w:p w14:paraId="27F4C8D3" w14:textId="09CBA045" w:rsidR="00DB21F4" w:rsidRPr="00D344B5" w:rsidRDefault="00CC39B7">
      <w:pPr>
        <w:pStyle w:val="Haupttext"/>
        <w:rPr>
          <w:rFonts w:ascii="Arial" w:hAnsi="Arial" w:cs="Arial"/>
          <w:lang w:val="en-US"/>
        </w:rPr>
      </w:pPr>
      <w:r w:rsidRPr="00CC39B7">
        <w:rPr>
          <w:rFonts w:ascii="Arial" w:hAnsi="Arial" w:cs="Arial"/>
          <w:noProof/>
          <w:lang w:val="en-US"/>
        </w:rPr>
        <w:drawing>
          <wp:inline distT="0" distB="0" distL="0" distR="0" wp14:anchorId="63D021D9" wp14:editId="7C63605F">
            <wp:extent cx="5760085" cy="47771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085" cy="4777105"/>
                    </a:xfrm>
                    <a:prstGeom prst="rect">
                      <a:avLst/>
                    </a:prstGeom>
                  </pic:spPr>
                </pic:pic>
              </a:graphicData>
            </a:graphic>
          </wp:inline>
        </w:drawing>
      </w:r>
    </w:p>
    <w:p w14:paraId="2900C038" w14:textId="694CE7B2" w:rsidR="00B57907" w:rsidRPr="00D344B5" w:rsidRDefault="00B57907">
      <w:pPr>
        <w:pStyle w:val="Haupttext"/>
        <w:rPr>
          <w:rFonts w:ascii="Arial" w:hAnsi="Arial" w:cs="Arial"/>
          <w:lang w:val="en-US"/>
        </w:rPr>
      </w:pPr>
    </w:p>
    <w:p w14:paraId="1CDAFA97" w14:textId="77777777" w:rsidR="00B57907" w:rsidRPr="00D344B5" w:rsidRDefault="00B57907">
      <w:pPr>
        <w:pStyle w:val="Haupttext"/>
        <w:rPr>
          <w:rFonts w:ascii="Arial" w:hAnsi="Arial" w:cs="Arial"/>
          <w:lang w:val="en-US"/>
        </w:rPr>
      </w:pPr>
    </w:p>
    <w:p w14:paraId="711B997E" w14:textId="77777777" w:rsidR="00B57907" w:rsidRPr="00D344B5" w:rsidRDefault="00B57907">
      <w:pPr>
        <w:pStyle w:val="Haupttext"/>
        <w:rPr>
          <w:rFonts w:ascii="Arial" w:hAnsi="Arial" w:cs="Arial"/>
          <w:lang w:val="en-US"/>
        </w:rPr>
      </w:pPr>
    </w:p>
    <w:sectPr w:rsidR="00B57907" w:rsidRPr="00D344B5">
      <w:type w:val="continuous"/>
      <w:pgSz w:w="11907" w:h="16840" w:code="9"/>
      <w:pgMar w:top="1418" w:right="1418" w:bottom="1418" w:left="1418" w:header="720" w:footer="720" w:gutter="0"/>
      <w:paperSrc w:first="290" w:other="2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7ED9E" w14:textId="77777777" w:rsidR="00F410DE" w:rsidRDefault="00F410DE" w:rsidP="004A1735">
      <w:pPr>
        <w:spacing w:line="240" w:lineRule="auto"/>
      </w:pPr>
      <w:r>
        <w:separator/>
      </w:r>
    </w:p>
  </w:endnote>
  <w:endnote w:type="continuationSeparator" w:id="0">
    <w:p w14:paraId="00D366D1" w14:textId="77777777" w:rsidR="00F410DE" w:rsidRDefault="00F410DE" w:rsidP="004A1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DEE35" w14:textId="77777777" w:rsidR="00F410DE" w:rsidRDefault="00F410DE" w:rsidP="004A1735">
      <w:pPr>
        <w:spacing w:line="240" w:lineRule="auto"/>
      </w:pPr>
      <w:r>
        <w:separator/>
      </w:r>
    </w:p>
  </w:footnote>
  <w:footnote w:type="continuationSeparator" w:id="0">
    <w:p w14:paraId="34052997" w14:textId="77777777" w:rsidR="00F410DE" w:rsidRDefault="00F410DE" w:rsidP="004A17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08"/>
  <w:hyphenationZone w:val="425"/>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9B"/>
    <w:rsid w:val="00132078"/>
    <w:rsid w:val="001C42B3"/>
    <w:rsid w:val="0025249B"/>
    <w:rsid w:val="003B4C17"/>
    <w:rsid w:val="0041553E"/>
    <w:rsid w:val="004A1B4D"/>
    <w:rsid w:val="00A74935"/>
    <w:rsid w:val="00B57907"/>
    <w:rsid w:val="00CB08C2"/>
    <w:rsid w:val="00CC39B7"/>
    <w:rsid w:val="00D344B5"/>
    <w:rsid w:val="00DB21F4"/>
    <w:rsid w:val="00F410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EAD74"/>
  <w15:docId w15:val="{526C2133-3D8C-544A-B127-6E43B5FF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60" w:lineRule="auto"/>
      <w:textAlignment w:val="baseline"/>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ascii="Times New Roman" w:hAnsi="Times New Roman"/>
    </w:rPr>
  </w:style>
  <w:style w:type="paragraph" w:styleId="Footer">
    <w:name w:val="footer"/>
    <w:basedOn w:val="Normal"/>
    <w:semiHidden/>
    <w:pPr>
      <w:tabs>
        <w:tab w:val="center" w:pos="4536"/>
        <w:tab w:val="right" w:pos="9072"/>
      </w:tabs>
    </w:pPr>
  </w:style>
  <w:style w:type="paragraph" w:customStyle="1" w:styleId="Titelzeile">
    <w:name w:val="Titelzeile"/>
    <w:basedOn w:val="Haupttext"/>
    <w:next w:val="Autoren"/>
    <w:pPr>
      <w:jc w:val="center"/>
    </w:pPr>
    <w:rPr>
      <w:rFonts w:cs="Arial"/>
      <w:b/>
      <w:sz w:val="28"/>
    </w:rPr>
  </w:style>
  <w:style w:type="paragraph" w:customStyle="1" w:styleId="Autoren">
    <w:name w:val="Autoren"/>
    <w:basedOn w:val="Haupttext"/>
    <w:pPr>
      <w:jc w:val="center"/>
    </w:pPr>
    <w:rPr>
      <w:i/>
      <w:iCs/>
    </w:rPr>
  </w:style>
  <w:style w:type="paragraph" w:styleId="Subtitle">
    <w:name w:val="Subtitle"/>
    <w:basedOn w:val="Haupttext"/>
    <w:next w:val="Haupttext"/>
    <w:qFormat/>
    <w:pPr>
      <w:spacing w:before="120"/>
      <w:jc w:val="left"/>
      <w:outlineLvl w:val="1"/>
    </w:pPr>
    <w:rPr>
      <w:rFonts w:cs="Arial"/>
      <w:b/>
      <w:szCs w:val="24"/>
    </w:rPr>
  </w:style>
  <w:style w:type="paragraph" w:customStyle="1" w:styleId="Haupttext">
    <w:name w:val="Haupttext"/>
    <w:pPr>
      <w:spacing w:line="360" w:lineRule="auto"/>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02835">
      <w:bodyDiv w:val="1"/>
      <w:marLeft w:val="0"/>
      <w:marRight w:val="0"/>
      <w:marTop w:val="0"/>
      <w:marBottom w:val="0"/>
      <w:divBdr>
        <w:top w:val="none" w:sz="0" w:space="0" w:color="auto"/>
        <w:left w:val="none" w:sz="0" w:space="0" w:color="auto"/>
        <w:bottom w:val="none" w:sz="0" w:space="0" w:color="auto"/>
        <w:right w:val="none" w:sz="0" w:space="0" w:color="auto"/>
      </w:divBdr>
    </w:div>
    <w:div w:id="4675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CHEMA\winword2000\user\NORMALL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C:\DECHEMA\winword2000\user\NORMALLN.DOT</Template>
  <TotalTime>0</TotalTime>
  <Pages>1</Pages>
  <Words>175</Words>
  <Characters>1002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Normvorlage</vt:lpstr>
      <vt:lpstr>Normvorlage</vt:lpstr>
    </vt:vector>
  </TitlesOfParts>
  <Company>DECHEMA e.V.</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Normvorlage</dc:title>
  <dc:subject/>
  <dc:creator>Dr. L. Nick</dc:creator>
  <cp:keywords/>
  <cp:lastModifiedBy>Tanja Gaich</cp:lastModifiedBy>
  <cp:revision>2</cp:revision>
  <cp:lastPrinted>2006-11-09T13:33:00Z</cp:lastPrinted>
  <dcterms:created xsi:type="dcterms:W3CDTF">2024-07-05T08:47:00Z</dcterms:created>
  <dcterms:modified xsi:type="dcterms:W3CDTF">2024-07-05T08:47:00Z</dcterms:modified>
</cp:coreProperties>
</file>